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45" w:rsidRDefault="002B0345" w:rsidP="002B0345">
      <w:pPr>
        <w:ind w:right="993"/>
        <w:jc w:val="center"/>
        <w:rPr>
          <w:rFonts w:ascii="David" w:hAnsi="David" w:cs="David" w:hint="cs"/>
          <w:b/>
          <w:bCs/>
          <w:sz w:val="40"/>
          <w:szCs w:val="40"/>
          <w:u w:val="single"/>
          <w:rtl/>
        </w:rPr>
      </w:pPr>
      <w:r>
        <w:rPr>
          <w:rFonts w:ascii="David" w:hAnsi="David" w:cs="David" w:hint="cs"/>
          <w:b/>
          <w:bCs/>
          <w:sz w:val="40"/>
          <w:szCs w:val="40"/>
          <w:u w:val="single"/>
          <w:rtl/>
        </w:rPr>
        <w:t xml:space="preserve">מידעון ינואר 2017  </w:t>
      </w:r>
    </w:p>
    <w:p w:rsidR="002B0345" w:rsidRDefault="002B0345" w:rsidP="002B0345">
      <w:pPr>
        <w:ind w:right="993"/>
        <w:rPr>
          <w:rFonts w:ascii="David" w:hAnsi="David" w:cs="David" w:hint="cs"/>
          <w:rtl/>
        </w:rPr>
      </w:pPr>
    </w:p>
    <w:p w:rsidR="002B0345" w:rsidRDefault="002B0345" w:rsidP="002B0345">
      <w:pPr>
        <w:ind w:right="993"/>
        <w:rPr>
          <w:rFonts w:ascii="David" w:hAnsi="David" w:cs="David" w:hint="cs"/>
          <w:b/>
          <w:bCs/>
          <w:sz w:val="36"/>
          <w:szCs w:val="36"/>
          <w:rtl/>
        </w:rPr>
      </w:pPr>
      <w:r>
        <w:rPr>
          <w:rFonts w:ascii="David" w:hAnsi="David" w:cs="David" w:hint="cs"/>
          <w:b/>
          <w:bCs/>
          <w:sz w:val="36"/>
          <w:szCs w:val="36"/>
          <w:rtl/>
        </w:rPr>
        <w:t>מה</w:t>
      </w:r>
      <w:r>
        <w:rPr>
          <w:rFonts w:ascii="David" w:hAnsi="David" w:cs="David" w:hint="cs"/>
          <w:b/>
          <w:bCs/>
          <w:sz w:val="32"/>
          <w:szCs w:val="32"/>
          <w:rtl/>
        </w:rPr>
        <w:t xml:space="preserve"> </w:t>
      </w:r>
      <w:r>
        <w:rPr>
          <w:rFonts w:ascii="David" w:hAnsi="David" w:cs="David" w:hint="cs"/>
          <w:b/>
          <w:bCs/>
          <w:sz w:val="36"/>
          <w:szCs w:val="36"/>
          <w:rtl/>
        </w:rPr>
        <w:t>במידעון</w:t>
      </w:r>
      <w:r>
        <w:rPr>
          <w:rFonts w:ascii="David" w:hAnsi="David" w:cs="David" w:hint="cs"/>
          <w:b/>
          <w:bCs/>
          <w:sz w:val="32"/>
          <w:szCs w:val="32"/>
          <w:rtl/>
        </w:rPr>
        <w:t>?</w:t>
      </w:r>
    </w:p>
    <w:p w:rsidR="002B0345" w:rsidRDefault="002B0345" w:rsidP="002B0345">
      <w:pPr>
        <w:numPr>
          <w:ilvl w:val="0"/>
          <w:numId w:val="1"/>
        </w:numPr>
        <w:spacing w:after="0" w:line="360" w:lineRule="auto"/>
        <w:ind w:right="993"/>
        <w:rPr>
          <w:rFonts w:ascii="David" w:hAnsi="David" w:cs="David" w:hint="cs"/>
          <w:b/>
          <w:bCs/>
          <w:sz w:val="36"/>
          <w:szCs w:val="36"/>
        </w:rPr>
      </w:pPr>
      <w:r>
        <w:rPr>
          <w:rFonts w:ascii="David" w:hAnsi="David" w:cs="David" w:hint="cs"/>
          <w:b/>
          <w:bCs/>
          <w:sz w:val="36"/>
          <w:szCs w:val="36"/>
          <w:rtl/>
        </w:rPr>
        <w:t>בריאות</w:t>
      </w:r>
    </w:p>
    <w:p w:rsidR="002B0345" w:rsidRDefault="002B0345" w:rsidP="002B0345">
      <w:pPr>
        <w:numPr>
          <w:ilvl w:val="0"/>
          <w:numId w:val="2"/>
        </w:numPr>
        <w:spacing w:after="0" w:line="360" w:lineRule="auto"/>
        <w:ind w:right="993"/>
        <w:rPr>
          <w:rFonts w:ascii="David" w:hAnsi="David" w:cs="David" w:hint="cs"/>
          <w:sz w:val="28"/>
          <w:szCs w:val="28"/>
        </w:rPr>
      </w:pPr>
      <w:r>
        <w:rPr>
          <w:rFonts w:ascii="David" w:hAnsi="David" w:cs="David" w:hint="cs"/>
          <w:sz w:val="28"/>
          <w:szCs w:val="28"/>
          <w:rtl/>
        </w:rPr>
        <w:t xml:space="preserve">הרחבת סל הבריאות </w:t>
      </w:r>
    </w:p>
    <w:p w:rsidR="002B0345" w:rsidRDefault="002B0345" w:rsidP="002B0345">
      <w:pPr>
        <w:pStyle w:val="a7"/>
        <w:spacing w:line="360" w:lineRule="auto"/>
        <w:ind w:left="1440" w:right="993"/>
        <w:rPr>
          <w:rFonts w:ascii="David" w:hAnsi="David" w:cs="David" w:hint="cs"/>
          <w:sz w:val="28"/>
          <w:szCs w:val="28"/>
        </w:rPr>
      </w:pPr>
    </w:p>
    <w:p w:rsidR="002B0345" w:rsidRDefault="002B0345" w:rsidP="002B0345">
      <w:pPr>
        <w:pStyle w:val="a7"/>
        <w:numPr>
          <w:ilvl w:val="0"/>
          <w:numId w:val="3"/>
        </w:numPr>
        <w:spacing w:after="0" w:line="360" w:lineRule="auto"/>
        <w:ind w:right="993"/>
        <w:rPr>
          <w:rFonts w:ascii="David" w:hAnsi="David" w:cs="David" w:hint="cs"/>
          <w:b/>
          <w:bCs/>
          <w:sz w:val="36"/>
          <w:szCs w:val="36"/>
          <w:rtl/>
        </w:rPr>
      </w:pPr>
      <w:r>
        <w:rPr>
          <w:rFonts w:ascii="David" w:hAnsi="David" w:cs="David" w:hint="cs"/>
          <w:b/>
          <w:bCs/>
          <w:sz w:val="36"/>
          <w:szCs w:val="36"/>
          <w:rtl/>
        </w:rPr>
        <w:t>ביטוח לאומי</w:t>
      </w:r>
    </w:p>
    <w:p w:rsidR="002B0345" w:rsidRDefault="002B0345" w:rsidP="002B0345">
      <w:pPr>
        <w:numPr>
          <w:ilvl w:val="0"/>
          <w:numId w:val="2"/>
        </w:numPr>
        <w:spacing w:after="0" w:line="360" w:lineRule="auto"/>
        <w:ind w:right="993"/>
        <w:rPr>
          <w:rFonts w:ascii="David" w:eastAsia="Times New Roman" w:hAnsi="David" w:cs="David" w:hint="cs"/>
          <w:b/>
          <w:bCs/>
          <w:sz w:val="28"/>
          <w:szCs w:val="28"/>
          <w:u w:val="single"/>
          <w:rtl/>
        </w:rPr>
      </w:pPr>
      <w:r>
        <w:rPr>
          <w:rFonts w:ascii="David" w:hAnsi="David" w:cs="David" w:hint="cs"/>
          <w:sz w:val="28"/>
          <w:szCs w:val="28"/>
          <w:rtl/>
        </w:rPr>
        <w:t>עדכון זכאות ילדים לגמלאות ילד נכה לפי רמת ה-</w:t>
      </w:r>
      <w:r>
        <w:rPr>
          <w:rFonts w:ascii="David" w:hAnsi="David" w:cs="David" w:hint="cs"/>
          <w:sz w:val="28"/>
          <w:szCs w:val="28"/>
        </w:rPr>
        <w:t>DQ</w:t>
      </w:r>
    </w:p>
    <w:p w:rsidR="002B0345" w:rsidRDefault="002B0345" w:rsidP="002B0345">
      <w:pPr>
        <w:bidi w:val="0"/>
        <w:ind w:right="993"/>
        <w:rPr>
          <w:rFonts w:ascii="David" w:eastAsia="Times New Roman" w:hAnsi="David" w:cs="David" w:hint="cs"/>
          <w:b/>
          <w:bCs/>
          <w:sz w:val="28"/>
          <w:szCs w:val="28"/>
          <w:u w:val="single"/>
        </w:rPr>
      </w:pPr>
    </w:p>
    <w:p w:rsidR="002B0345" w:rsidRDefault="002B0345" w:rsidP="002B0345">
      <w:pPr>
        <w:spacing w:after="0" w:line="360" w:lineRule="auto"/>
        <w:ind w:right="993"/>
        <w:rPr>
          <w:rFonts w:ascii="David" w:hAnsi="David" w:cs="David" w:hint="cs"/>
          <w:b/>
          <w:bCs/>
          <w:sz w:val="36"/>
          <w:szCs w:val="36"/>
          <w:rtl/>
        </w:rPr>
      </w:pPr>
      <w:r>
        <w:rPr>
          <w:rFonts w:ascii="David" w:hAnsi="David" w:cs="David" w:hint="cs"/>
          <w:b/>
          <w:bCs/>
          <w:sz w:val="36"/>
          <w:szCs w:val="36"/>
          <w:rtl/>
        </w:rPr>
        <w:t>בריאות</w:t>
      </w:r>
    </w:p>
    <w:p w:rsidR="002B0345" w:rsidRDefault="002B0345" w:rsidP="002B0345">
      <w:pPr>
        <w:ind w:right="993"/>
        <w:rPr>
          <w:rFonts w:ascii="David" w:eastAsia="Times New Roman" w:hAnsi="David" w:cs="David" w:hint="cs"/>
          <w:b/>
          <w:bCs/>
          <w:sz w:val="28"/>
          <w:szCs w:val="28"/>
          <w:u w:val="single"/>
          <w:rtl/>
        </w:rPr>
      </w:pPr>
      <w:r>
        <w:rPr>
          <w:rFonts w:ascii="David" w:eastAsia="Times New Roman" w:hAnsi="David" w:cs="David" w:hint="cs"/>
          <w:b/>
          <w:bCs/>
          <w:sz w:val="28"/>
          <w:szCs w:val="28"/>
          <w:u w:val="single"/>
          <w:rtl/>
        </w:rPr>
        <w:t>הרחבות בסל הבריאות</w:t>
      </w:r>
    </w:p>
    <w:p w:rsidR="002B0345" w:rsidRDefault="002B0345" w:rsidP="002B0345">
      <w:pPr>
        <w:ind w:right="993"/>
        <w:rPr>
          <w:rFonts w:ascii="David" w:hAnsi="David" w:cs="David" w:hint="cs"/>
          <w:sz w:val="28"/>
          <w:szCs w:val="28"/>
          <w:rtl/>
        </w:rPr>
      </w:pPr>
      <w:r>
        <w:rPr>
          <w:rFonts w:ascii="David" w:eastAsia="Times New Roman" w:hAnsi="David" w:cs="David" w:hint="cs"/>
          <w:sz w:val="28"/>
          <w:szCs w:val="28"/>
          <w:rtl/>
        </w:rPr>
        <w:t xml:space="preserve">הוועד הציבורית להרחבת סל שירותי הבריאות לשנת 2017  החליטה להכניס כ- 106 </w:t>
      </w:r>
      <w:r>
        <w:rPr>
          <w:rFonts w:ascii="David" w:hAnsi="David" w:cs="David" w:hint="cs"/>
          <w:sz w:val="28"/>
          <w:szCs w:val="28"/>
          <w:rtl/>
        </w:rPr>
        <w:t>תרופות וטכנולוגיות שונות עבור כ- 75,000 איש, בעלות כוללת של 469.8 מיליון ש"ח</w:t>
      </w:r>
      <w:r>
        <w:rPr>
          <w:rFonts w:ascii="David" w:hAnsi="David" w:cs="David" w:hint="cs"/>
          <w:sz w:val="28"/>
          <w:szCs w:val="28"/>
        </w:rPr>
        <w:t>.</w:t>
      </w:r>
      <w:r>
        <w:rPr>
          <w:rFonts w:ascii="David" w:hAnsi="David" w:cs="David" w:hint="cs"/>
          <w:sz w:val="28"/>
          <w:szCs w:val="28"/>
          <w:rtl/>
        </w:rPr>
        <w:t xml:space="preserve"> בין יתר החידושים הוכללו טכנולוגיות לחולי אפילפסיה, וקצבות לרפואה משקמת בדגש על סדים טיפוליים לילדים, והרחבת מימון מכשירי שמיעה לבוגרים גילאים 31-50. </w:t>
      </w:r>
    </w:p>
    <w:tbl>
      <w:tblPr>
        <w:tblStyle w:val="a8"/>
        <w:bidiVisual/>
        <w:tblW w:w="0" w:type="auto"/>
        <w:tblInd w:w="0" w:type="dxa"/>
        <w:tblLook w:val="04A0" w:firstRow="1" w:lastRow="0" w:firstColumn="1" w:lastColumn="0" w:noHBand="0" w:noVBand="1"/>
      </w:tblPr>
      <w:tblGrid>
        <w:gridCol w:w="3275"/>
        <w:gridCol w:w="6212"/>
      </w:tblGrid>
      <w:tr w:rsidR="002B0345" w:rsidTr="002B0345">
        <w:tc>
          <w:tcPr>
            <w:tcW w:w="4148"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Pr>
            </w:pPr>
            <w:r>
              <w:rPr>
                <w:rFonts w:ascii="David" w:hAnsi="David" w:cs="David" w:hint="cs"/>
                <w:sz w:val="28"/>
                <w:szCs w:val="28"/>
                <w:rtl/>
              </w:rPr>
              <w:t xml:space="preserve">סוג  </w:t>
            </w:r>
          </w:p>
        </w:tc>
        <w:tc>
          <w:tcPr>
            <w:tcW w:w="8826"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מי זכאי </w:t>
            </w:r>
          </w:p>
        </w:tc>
      </w:tr>
      <w:tr w:rsidR="002B0345" w:rsidTr="002B0345">
        <w:tc>
          <w:tcPr>
            <w:tcW w:w="4148"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סדים לתיקון לקות אורתופדית מולדת </w:t>
            </w:r>
          </w:p>
        </w:tc>
        <w:tc>
          <w:tcPr>
            <w:tcW w:w="8826"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הסדים יינתנו בהתאם להמלצת מומחה באורתופדיה, ולפי הקטיגוריות הבאות: </w:t>
            </w:r>
          </w:p>
          <w:p w:rsidR="002B0345" w:rsidRDefault="002B0345" w:rsidP="0009073B">
            <w:pPr>
              <w:pStyle w:val="a7"/>
              <w:numPr>
                <w:ilvl w:val="0"/>
                <w:numId w:val="4"/>
              </w:numPr>
              <w:spacing w:line="240" w:lineRule="auto"/>
              <w:ind w:right="993"/>
              <w:rPr>
                <w:rFonts w:ascii="David" w:hAnsi="David" w:cs="David" w:hint="cs"/>
                <w:sz w:val="28"/>
                <w:szCs w:val="28"/>
                <w:rtl/>
              </w:rPr>
            </w:pPr>
            <w:r>
              <w:rPr>
                <w:rFonts w:ascii="David" w:hAnsi="David" w:cs="David" w:hint="cs"/>
                <w:sz w:val="28"/>
                <w:szCs w:val="28"/>
                <w:rtl/>
              </w:rPr>
              <w:t>סד לכף רגל קלובה (</w:t>
            </w:r>
            <w:r>
              <w:rPr>
                <w:rFonts w:ascii="David" w:hAnsi="David" w:cs="David" w:hint="cs"/>
                <w:sz w:val="28"/>
                <w:szCs w:val="28"/>
              </w:rPr>
              <w:t>foot club</w:t>
            </w:r>
            <w:r>
              <w:rPr>
                <w:rFonts w:ascii="David" w:hAnsi="David" w:cs="David" w:hint="cs"/>
                <w:sz w:val="28"/>
                <w:szCs w:val="28"/>
                <w:rtl/>
              </w:rPr>
              <w:t>(</w:t>
            </w:r>
          </w:p>
          <w:p w:rsidR="002B0345" w:rsidRDefault="002B0345" w:rsidP="0009073B">
            <w:pPr>
              <w:pStyle w:val="a7"/>
              <w:numPr>
                <w:ilvl w:val="0"/>
                <w:numId w:val="4"/>
              </w:numPr>
              <w:spacing w:line="240" w:lineRule="auto"/>
              <w:ind w:right="993"/>
              <w:rPr>
                <w:rFonts w:ascii="David" w:hAnsi="David" w:cs="David" w:hint="cs"/>
                <w:sz w:val="28"/>
                <w:szCs w:val="28"/>
                <w:rtl/>
              </w:rPr>
            </w:pPr>
            <w:r>
              <w:rPr>
                <w:rFonts w:ascii="David" w:hAnsi="David" w:cs="David" w:hint="cs"/>
                <w:sz w:val="28"/>
                <w:szCs w:val="28"/>
                <w:rtl/>
              </w:rPr>
              <w:t xml:space="preserve">סד לפריקה התפתחותית במפרקי הירכיים </w:t>
            </w:r>
            <w:r>
              <w:rPr>
                <w:rFonts w:ascii="David" w:hAnsi="David" w:cs="David" w:hint="cs"/>
                <w:sz w:val="28"/>
                <w:szCs w:val="28"/>
              </w:rPr>
              <w:t>hip of dysplasia developmental</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 </w:t>
            </w:r>
            <w:r>
              <w:rPr>
                <w:rFonts w:ascii="David" w:hAnsi="David" w:cs="David" w:hint="cs"/>
                <w:sz w:val="28"/>
                <w:szCs w:val="28"/>
              </w:rPr>
              <w:t>DDH</w:t>
            </w:r>
          </w:p>
        </w:tc>
      </w:tr>
      <w:tr w:rsidR="002B0345" w:rsidTr="002B0345">
        <w:tc>
          <w:tcPr>
            <w:tcW w:w="4148"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סדי</w:t>
            </w:r>
            <w:r>
              <w:rPr>
                <w:rFonts w:ascii="David" w:hAnsi="David" w:cs="David" w:hint="cs"/>
                <w:sz w:val="28"/>
                <w:szCs w:val="28"/>
              </w:rPr>
              <w:t xml:space="preserve"> AFO </w:t>
            </w:r>
            <w:r>
              <w:rPr>
                <w:rFonts w:ascii="David" w:hAnsi="David" w:cs="David" w:hint="cs"/>
                <w:sz w:val="28"/>
                <w:szCs w:val="28"/>
                <w:rtl/>
              </w:rPr>
              <w:t>לשמירת מנח וטווחי תנועה בכפות הרגליים (באחריות משרד הבריאות)</w:t>
            </w:r>
          </w:p>
        </w:tc>
        <w:tc>
          <w:tcPr>
            <w:tcW w:w="8826"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הסדים יינתנו בהתאם להמלצת מומחה באורתופדיה, ולעונים על הקטיגוריות הבאות:</w:t>
            </w:r>
          </w:p>
          <w:p w:rsidR="002B0345" w:rsidRDefault="002B0345" w:rsidP="0009073B">
            <w:pPr>
              <w:pStyle w:val="a7"/>
              <w:numPr>
                <w:ilvl w:val="0"/>
                <w:numId w:val="5"/>
              </w:numPr>
              <w:spacing w:line="240" w:lineRule="auto"/>
              <w:ind w:right="993"/>
              <w:rPr>
                <w:rFonts w:ascii="David" w:hAnsi="David" w:cs="David" w:hint="cs"/>
                <w:sz w:val="28"/>
                <w:szCs w:val="28"/>
                <w:rtl/>
              </w:rPr>
            </w:pPr>
            <w:r>
              <w:rPr>
                <w:rFonts w:ascii="David" w:hAnsi="David" w:cs="David" w:hint="cs"/>
                <w:sz w:val="28"/>
                <w:szCs w:val="28"/>
                <w:rtl/>
              </w:rPr>
              <w:t>ילדים עם פוטנציאל עתידי להליכה</w:t>
            </w:r>
          </w:p>
          <w:p w:rsidR="002B0345" w:rsidRDefault="002B0345" w:rsidP="0009073B">
            <w:pPr>
              <w:pStyle w:val="a7"/>
              <w:numPr>
                <w:ilvl w:val="0"/>
                <w:numId w:val="5"/>
              </w:numPr>
              <w:spacing w:line="240" w:lineRule="auto"/>
              <w:ind w:right="993"/>
              <w:rPr>
                <w:rFonts w:ascii="David" w:hAnsi="David" w:cs="David" w:hint="cs"/>
                <w:sz w:val="28"/>
                <w:szCs w:val="28"/>
              </w:rPr>
            </w:pPr>
            <w:r>
              <w:rPr>
                <w:rFonts w:ascii="David" w:hAnsi="David" w:cs="David" w:hint="cs"/>
                <w:sz w:val="28"/>
                <w:szCs w:val="28"/>
                <w:rtl/>
              </w:rPr>
              <w:t xml:space="preserve">ילדים שנזקקים לתנוחת רגל טיפוסית לצורך עמידה </w:t>
            </w:r>
          </w:p>
        </w:tc>
      </w:tr>
      <w:tr w:rsidR="002B0345" w:rsidTr="002B0345">
        <w:tc>
          <w:tcPr>
            <w:tcW w:w="4148"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גירוי מוחי עמוק לטיפול בבגירים הסובלים מאפילפסיה עמידה</w:t>
            </w:r>
          </w:p>
        </w:tc>
        <w:tc>
          <w:tcPr>
            <w:tcW w:w="8826" w:type="dxa"/>
            <w:tcBorders>
              <w:top w:val="single" w:sz="4" w:space="0" w:color="auto"/>
              <w:left w:val="single" w:sz="4" w:space="0" w:color="auto"/>
              <w:bottom w:val="single" w:sz="4" w:space="0" w:color="auto"/>
              <w:right w:val="single" w:sz="4" w:space="0" w:color="auto"/>
            </w:tcBorders>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עבור חולי אפילפסיה בגירים הסובלים מהתקפים מסוג</w:t>
            </w:r>
            <w:r>
              <w:rPr>
                <w:rFonts w:ascii="David" w:hAnsi="David" w:cs="David" w:hint="cs"/>
                <w:sz w:val="28"/>
                <w:szCs w:val="28"/>
              </w:rPr>
              <w:t xml:space="preserve">  Onset Partial </w:t>
            </w:r>
            <w:r>
              <w:rPr>
                <w:rFonts w:ascii="David" w:hAnsi="David" w:cs="David" w:hint="cs"/>
                <w:sz w:val="28"/>
                <w:szCs w:val="28"/>
                <w:rtl/>
              </w:rPr>
              <w:t>בין אם היתה התרחבות למוקדים נוספים ובין אם לאו, אשר קיבלו המלצה מנירולוג לטיפול זה, ועונים על אחד מאלה:</w:t>
            </w:r>
          </w:p>
          <w:p w:rsidR="002B0345" w:rsidRDefault="002B0345" w:rsidP="0009073B">
            <w:pPr>
              <w:pStyle w:val="a7"/>
              <w:numPr>
                <w:ilvl w:val="0"/>
                <w:numId w:val="6"/>
              </w:numPr>
              <w:spacing w:line="240" w:lineRule="auto"/>
              <w:ind w:right="993"/>
              <w:rPr>
                <w:rFonts w:ascii="David" w:hAnsi="David" w:cs="David" w:hint="cs"/>
                <w:sz w:val="28"/>
                <w:szCs w:val="28"/>
                <w:rtl/>
              </w:rPr>
            </w:pPr>
            <w:r>
              <w:rPr>
                <w:rFonts w:ascii="David" w:hAnsi="David" w:cs="David" w:hint="cs"/>
                <w:sz w:val="28"/>
                <w:szCs w:val="28"/>
                <w:rtl/>
              </w:rPr>
              <w:lastRenderedPageBreak/>
              <w:t>מיצוי טיפול תרופתי באפילפסיה.</w:t>
            </w:r>
          </w:p>
          <w:p w:rsidR="002B0345" w:rsidRDefault="002B0345" w:rsidP="0009073B">
            <w:pPr>
              <w:pStyle w:val="a7"/>
              <w:numPr>
                <w:ilvl w:val="0"/>
                <w:numId w:val="6"/>
              </w:numPr>
              <w:spacing w:line="240" w:lineRule="auto"/>
              <w:ind w:right="993"/>
              <w:rPr>
                <w:rFonts w:ascii="David" w:hAnsi="David" w:cs="David" w:hint="cs"/>
                <w:sz w:val="28"/>
                <w:szCs w:val="28"/>
                <w:rtl/>
              </w:rPr>
            </w:pPr>
            <w:r>
              <w:rPr>
                <w:rFonts w:ascii="David" w:hAnsi="David" w:cs="David" w:hint="cs"/>
                <w:sz w:val="28"/>
                <w:szCs w:val="28"/>
                <w:rtl/>
              </w:rPr>
              <w:t>לאחר מיצוי טיפול ב-</w:t>
            </w:r>
            <w:r>
              <w:rPr>
                <w:rFonts w:ascii="David" w:hAnsi="David" w:cs="David" w:hint="cs"/>
                <w:sz w:val="28"/>
                <w:szCs w:val="28"/>
              </w:rPr>
              <w:t>VNS</w:t>
            </w:r>
            <w:r>
              <w:rPr>
                <w:rFonts w:ascii="David" w:hAnsi="David" w:cs="David" w:hint="cs"/>
                <w:sz w:val="28"/>
                <w:szCs w:val="28"/>
                <w:rtl/>
              </w:rPr>
              <w:t>.</w:t>
            </w:r>
          </w:p>
          <w:p w:rsidR="002B0345" w:rsidRDefault="002B0345">
            <w:pPr>
              <w:spacing w:line="240" w:lineRule="auto"/>
              <w:ind w:right="993"/>
              <w:rPr>
                <w:rFonts w:ascii="David" w:hAnsi="David" w:cs="David" w:hint="cs"/>
                <w:sz w:val="28"/>
                <w:szCs w:val="28"/>
                <w:rtl/>
              </w:rPr>
            </w:pPr>
          </w:p>
        </w:tc>
      </w:tr>
      <w:tr w:rsidR="002B0345" w:rsidTr="002B0345">
        <w:tc>
          <w:tcPr>
            <w:tcW w:w="4148"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lastRenderedPageBreak/>
              <w:t xml:space="preserve">מכשירי אינהלציה מסוג </w:t>
            </w:r>
            <w:r>
              <w:rPr>
                <w:rFonts w:ascii="David" w:hAnsi="David" w:cs="David" w:hint="cs"/>
                <w:sz w:val="28"/>
                <w:szCs w:val="28"/>
              </w:rPr>
              <w:t>VMT</w:t>
            </w:r>
            <w:r>
              <w:rPr>
                <w:rFonts w:ascii="David" w:hAnsi="David" w:cs="David" w:hint="cs"/>
                <w:sz w:val="28"/>
                <w:szCs w:val="28"/>
                <w:rtl/>
              </w:rPr>
              <w:t xml:space="preserve"> לחולי סיסטיק</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פיברוזיס</w:t>
            </w:r>
          </w:p>
        </w:tc>
        <w:tc>
          <w:tcPr>
            <w:tcW w:w="8826"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הרחבת מסגרת ההכללה בסל עבור כלל הילדים החולים בסיסטיק פיברוזיס</w:t>
            </w:r>
            <w:r>
              <w:rPr>
                <w:rFonts w:ascii="David" w:hAnsi="David" w:cs="David" w:hint="cs"/>
                <w:sz w:val="28"/>
                <w:szCs w:val="28"/>
              </w:rPr>
              <w:t xml:space="preserve">   CF </w:t>
            </w:r>
            <w:r>
              <w:rPr>
                <w:rFonts w:ascii="David" w:hAnsi="David" w:cs="David" w:hint="cs"/>
                <w:sz w:val="28"/>
                <w:szCs w:val="28"/>
                <w:rtl/>
              </w:rPr>
              <w:t xml:space="preserve"> עד גיל 18. </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 (</w:t>
            </w:r>
            <w:r>
              <w:rPr>
                <w:rFonts w:ascii="David" w:hAnsi="David" w:cs="David" w:hint="cs"/>
                <w:sz w:val="28"/>
                <w:szCs w:val="28"/>
              </w:rPr>
              <w:t>CF</w:t>
            </w:r>
            <w:r>
              <w:rPr>
                <w:rFonts w:ascii="David" w:hAnsi="David" w:cs="David" w:hint="cs"/>
                <w:sz w:val="28"/>
                <w:szCs w:val="28"/>
                <w:rtl/>
              </w:rPr>
              <w:t xml:space="preserve"> (עד גיל 18</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זכאות אחת לשנתיים</w:t>
            </w:r>
          </w:p>
        </w:tc>
      </w:tr>
    </w:tbl>
    <w:p w:rsidR="002B0345" w:rsidRDefault="002B0345" w:rsidP="002B0345">
      <w:pPr>
        <w:shd w:val="clear" w:color="auto" w:fill="FFFFFF"/>
        <w:spacing w:after="0" w:line="240" w:lineRule="auto"/>
        <w:ind w:right="993"/>
        <w:rPr>
          <w:rFonts w:ascii="David" w:eastAsia="Times New Roman" w:hAnsi="David" w:cs="David" w:hint="cs"/>
          <w:sz w:val="28"/>
          <w:szCs w:val="28"/>
        </w:rPr>
      </w:pPr>
    </w:p>
    <w:p w:rsidR="002B0345" w:rsidRDefault="002B0345" w:rsidP="002B0345">
      <w:pPr>
        <w:shd w:val="clear" w:color="auto" w:fill="FFFFFF"/>
        <w:spacing w:after="0" w:line="240" w:lineRule="auto"/>
        <w:ind w:right="993"/>
        <w:rPr>
          <w:rFonts w:ascii="David" w:eastAsia="Times New Roman" w:hAnsi="David" w:cs="David" w:hint="cs"/>
          <w:sz w:val="28"/>
          <w:szCs w:val="28"/>
        </w:rPr>
      </w:pPr>
    </w:p>
    <w:p w:rsidR="002B0345" w:rsidRDefault="002B0345" w:rsidP="002B0345">
      <w:pPr>
        <w:spacing w:after="0" w:line="360" w:lineRule="auto"/>
        <w:ind w:right="993"/>
        <w:rPr>
          <w:rFonts w:ascii="David" w:hAnsi="David" w:cs="David" w:hint="cs"/>
          <w:b/>
          <w:bCs/>
          <w:sz w:val="36"/>
          <w:szCs w:val="36"/>
          <w:rtl/>
        </w:rPr>
      </w:pPr>
      <w:r>
        <w:rPr>
          <w:rFonts w:ascii="David" w:hAnsi="David" w:cs="David" w:hint="cs"/>
          <w:b/>
          <w:bCs/>
          <w:sz w:val="36"/>
          <w:szCs w:val="36"/>
          <w:rtl/>
        </w:rPr>
        <w:t>ביטוח לאומי</w:t>
      </w:r>
    </w:p>
    <w:p w:rsidR="002B0345" w:rsidRDefault="002B0345" w:rsidP="002B0345">
      <w:pPr>
        <w:spacing w:after="0" w:line="360" w:lineRule="auto"/>
        <w:ind w:right="993"/>
        <w:rPr>
          <w:rFonts w:ascii="David" w:eastAsia="Times New Roman" w:hAnsi="David" w:cs="David" w:hint="cs"/>
          <w:b/>
          <w:bCs/>
          <w:sz w:val="28"/>
          <w:szCs w:val="28"/>
          <w:u w:val="single"/>
          <w:rtl/>
        </w:rPr>
      </w:pPr>
      <w:bookmarkStart w:id="0" w:name="_GoBack"/>
      <w:bookmarkEnd w:id="0"/>
      <w:r>
        <w:rPr>
          <w:rFonts w:ascii="David" w:hAnsi="David" w:cs="David" w:hint="cs"/>
          <w:b/>
          <w:bCs/>
          <w:sz w:val="28"/>
          <w:szCs w:val="28"/>
          <w:u w:val="single"/>
          <w:rtl/>
        </w:rPr>
        <w:t>עדכון זכאות ילדים לגמלאות ילד נכה לפי רמת ה-</w:t>
      </w:r>
      <w:r>
        <w:rPr>
          <w:rFonts w:ascii="David" w:hAnsi="David" w:cs="David" w:hint="cs"/>
          <w:b/>
          <w:bCs/>
          <w:sz w:val="28"/>
          <w:szCs w:val="28"/>
          <w:u w:val="single"/>
        </w:rPr>
        <w:t>DQ</w:t>
      </w:r>
    </w:p>
    <w:p w:rsidR="002B0345" w:rsidRDefault="002B0345" w:rsidP="002B0345">
      <w:pPr>
        <w:shd w:val="clear" w:color="auto" w:fill="FFFFFF"/>
        <w:spacing w:after="0" w:line="240" w:lineRule="auto"/>
        <w:ind w:right="993"/>
        <w:rPr>
          <w:rFonts w:ascii="David" w:eastAsia="Times New Roman" w:hAnsi="David" w:cs="David" w:hint="cs"/>
          <w:sz w:val="28"/>
          <w:szCs w:val="28"/>
          <w:rtl/>
        </w:rPr>
      </w:pPr>
      <w:r>
        <w:rPr>
          <w:rFonts w:ascii="David" w:eastAsia="Times New Roman" w:hAnsi="David" w:cs="David" w:hint="cs"/>
          <w:b/>
          <w:bCs/>
          <w:sz w:val="28"/>
          <w:szCs w:val="28"/>
          <w:rtl/>
        </w:rPr>
        <w:t xml:space="preserve">מה זה </w:t>
      </w:r>
      <w:r>
        <w:rPr>
          <w:rFonts w:ascii="David" w:eastAsia="Times New Roman" w:hAnsi="David" w:cs="David" w:hint="cs"/>
          <w:b/>
          <w:bCs/>
          <w:sz w:val="28"/>
          <w:szCs w:val="28"/>
        </w:rPr>
        <w:t>DQ</w:t>
      </w:r>
      <w:r>
        <w:rPr>
          <w:rFonts w:ascii="David" w:eastAsia="Times New Roman" w:hAnsi="David" w:cs="David" w:hint="cs"/>
          <w:b/>
          <w:bCs/>
          <w:sz w:val="28"/>
          <w:szCs w:val="28"/>
          <w:rtl/>
        </w:rPr>
        <w:t xml:space="preserve">? </w:t>
      </w:r>
      <w:r>
        <w:rPr>
          <w:rFonts w:ascii="David" w:eastAsia="Times New Roman" w:hAnsi="David" w:cs="David" w:hint="cs"/>
          <w:sz w:val="28"/>
          <w:szCs w:val="28"/>
        </w:rPr>
        <w:t>DQ</w:t>
      </w:r>
      <w:r>
        <w:rPr>
          <w:rFonts w:ascii="David" w:eastAsia="Times New Roman" w:hAnsi="David" w:cs="David" w:hint="cs"/>
          <w:sz w:val="28"/>
          <w:szCs w:val="28"/>
          <w:rtl/>
        </w:rPr>
        <w:t xml:space="preserve"> הוא קיצור למילים </w:t>
      </w:r>
      <w:r>
        <w:rPr>
          <w:rFonts w:ascii="David" w:eastAsia="Times New Roman" w:hAnsi="David" w:cs="David" w:hint="cs"/>
          <w:b/>
          <w:bCs/>
          <w:sz w:val="28"/>
          <w:szCs w:val="28"/>
        </w:rPr>
        <w:t xml:space="preserve">Developmental Quotient </w:t>
      </w:r>
      <w:r>
        <w:rPr>
          <w:rFonts w:ascii="David" w:eastAsia="Times New Roman" w:hAnsi="David" w:cs="David" w:hint="cs"/>
          <w:sz w:val="28"/>
          <w:szCs w:val="28"/>
          <w:rtl/>
        </w:rPr>
        <w:t>–</w:t>
      </w:r>
      <w:r>
        <w:rPr>
          <w:rFonts w:ascii="David" w:eastAsia="Times New Roman" w:hAnsi="David" w:cs="David" w:hint="cs"/>
          <w:sz w:val="28"/>
          <w:szCs w:val="28"/>
        </w:rPr>
        <w:t xml:space="preserve"> </w:t>
      </w:r>
      <w:r>
        <w:rPr>
          <w:rFonts w:ascii="David" w:eastAsia="Times New Roman" w:hAnsi="David" w:cs="David" w:hint="cs"/>
          <w:sz w:val="28"/>
          <w:szCs w:val="28"/>
          <w:rtl/>
        </w:rPr>
        <w:t xml:space="preserve">קרי; מדד התפתחותי, המשקף את רמת ההתפתחות של הילד/ה, המתקבל מחישוב הגיל התפקודי של הילד/ה חלקי גילו/ה הכרונולוגי.  משמע הדבר את ילד/ה בן/ת 4 מתפקד/ת בממוצע כיל/ד בן/ת 2 סימן שתיקבע לו/ה רמת </w:t>
      </w:r>
      <w:r>
        <w:rPr>
          <w:rFonts w:ascii="David" w:eastAsia="Times New Roman" w:hAnsi="David" w:cs="David" w:hint="cs"/>
          <w:sz w:val="28"/>
          <w:szCs w:val="28"/>
        </w:rPr>
        <w:t>DQ</w:t>
      </w:r>
      <w:r>
        <w:rPr>
          <w:rFonts w:ascii="David" w:eastAsia="Times New Roman" w:hAnsi="David" w:cs="David" w:hint="cs"/>
          <w:sz w:val="28"/>
          <w:szCs w:val="28"/>
          <w:rtl/>
        </w:rPr>
        <w:t xml:space="preserve"> 50 </w:t>
      </w:r>
      <w:r>
        <w:rPr>
          <w:rFonts w:ascii="David" w:eastAsia="Times New Roman" w:hAnsi="David" w:cs="David" w:hint="cs"/>
          <w:sz w:val="28"/>
          <w:szCs w:val="28"/>
        </w:rPr>
        <w:t xml:space="preserve">. </w:t>
      </w:r>
    </w:p>
    <w:p w:rsidR="002B0345" w:rsidRDefault="002B0345" w:rsidP="002B0345">
      <w:pPr>
        <w:shd w:val="clear" w:color="auto" w:fill="FFFFFF"/>
        <w:spacing w:after="0" w:line="240" w:lineRule="auto"/>
        <w:ind w:right="993"/>
        <w:rPr>
          <w:rFonts w:ascii="David" w:eastAsia="Times New Roman" w:hAnsi="David" w:cs="David" w:hint="cs"/>
          <w:sz w:val="28"/>
          <w:szCs w:val="28"/>
        </w:rPr>
      </w:pPr>
      <w:r>
        <w:rPr>
          <w:rFonts w:ascii="David" w:eastAsia="Times New Roman" w:hAnsi="David" w:cs="David" w:hint="cs"/>
          <w:sz w:val="28"/>
          <w:szCs w:val="28"/>
          <w:rtl/>
        </w:rPr>
        <w:t xml:space="preserve"> </w:t>
      </w:r>
    </w:p>
    <w:p w:rsidR="002B0345" w:rsidRDefault="002B0345" w:rsidP="002B0345">
      <w:pPr>
        <w:shd w:val="clear" w:color="auto" w:fill="FFFFFF"/>
        <w:spacing w:after="0" w:line="240" w:lineRule="auto"/>
        <w:ind w:right="993"/>
        <w:rPr>
          <w:rFonts w:ascii="David" w:eastAsia="Times New Roman" w:hAnsi="David" w:cs="David" w:hint="cs"/>
          <w:sz w:val="28"/>
          <w:szCs w:val="28"/>
          <w:rtl/>
        </w:rPr>
      </w:pPr>
      <w:r>
        <w:rPr>
          <w:rFonts w:ascii="David" w:eastAsia="Times New Roman" w:hAnsi="David" w:cs="David" w:hint="cs"/>
          <w:b/>
          <w:bCs/>
          <w:sz w:val="28"/>
          <w:szCs w:val="28"/>
          <w:rtl/>
        </w:rPr>
        <w:t xml:space="preserve">החידוש: </w:t>
      </w:r>
      <w:r>
        <w:rPr>
          <w:rFonts w:ascii="David" w:eastAsia="Times New Roman" w:hAnsi="David" w:cs="David" w:hint="cs"/>
          <w:sz w:val="28"/>
          <w:szCs w:val="28"/>
          <w:rtl/>
        </w:rPr>
        <w:t>ביום 4 בדצמבר 2017 פרסם המוסד לביטוח לאומי נוהל חדש המסדיר את זכאותם של ילדים לגמלאות ילד נכה לפי רמת ה-</w:t>
      </w:r>
      <w:r>
        <w:rPr>
          <w:rFonts w:ascii="David" w:eastAsia="Times New Roman" w:hAnsi="David" w:cs="David" w:hint="cs"/>
          <w:sz w:val="28"/>
          <w:szCs w:val="28"/>
        </w:rPr>
        <w:t>DQ</w:t>
      </w:r>
      <w:r>
        <w:rPr>
          <w:rFonts w:ascii="David" w:eastAsia="Times New Roman" w:hAnsi="David" w:cs="David" w:hint="cs"/>
          <w:sz w:val="28"/>
          <w:szCs w:val="28"/>
          <w:rtl/>
        </w:rPr>
        <w:t xml:space="preserve"> שנקבעה להם.</w:t>
      </w:r>
    </w:p>
    <w:p w:rsidR="002B0345" w:rsidRDefault="002B0345" w:rsidP="002B0345">
      <w:pPr>
        <w:ind w:right="993"/>
        <w:rPr>
          <w:rFonts w:ascii="David" w:hAnsi="David" w:cs="David" w:hint="cs"/>
          <w:sz w:val="28"/>
          <w:szCs w:val="28"/>
          <w:rtl/>
        </w:rPr>
      </w:pPr>
      <w:r>
        <w:rPr>
          <w:rFonts w:ascii="David" w:eastAsia="Times New Roman" w:hAnsi="David" w:cs="David" w:hint="cs"/>
          <w:sz w:val="28"/>
          <w:szCs w:val="28"/>
          <w:rtl/>
        </w:rPr>
        <w:t xml:space="preserve">מדובר בילדים </w:t>
      </w:r>
      <w:r>
        <w:rPr>
          <w:rFonts w:ascii="David" w:hAnsi="David" w:cs="David" w:hint="cs"/>
          <w:sz w:val="28"/>
          <w:szCs w:val="28"/>
          <w:rtl/>
        </w:rPr>
        <w:t>שבסופו של דבר יאובחנו כבעלי מוגבלות שכלית התפתחותית ברמה קלה עד בינונית או כילדים על הספקטרום האוטיסטי, שזכאים לקצבת ילד נכה. יש לציין כי תחולת השינויים הינה מיום הפרסום, קרי מ- 2 בדצמבר 2017. ניתן לקבוע זכאות שנה רטרואקטיבית, בהתאם למועד הגשת התביעה. חשוב להדגיש כי בהתאם לסעיף 5 לכללי התשלום הרטרואקטיבי בילד נכה; ניתן יהא לשלם עד שנה לפני הגשת התביעה, ממועד הופעת התסמינים וקיום עומס טיפולי או האבחון, לפי המוקדם מבניהם.</w:t>
      </w:r>
    </w:p>
    <w:p w:rsidR="002B0345" w:rsidRDefault="002B0345" w:rsidP="002B0345">
      <w:pPr>
        <w:ind w:right="993"/>
        <w:rPr>
          <w:rFonts w:ascii="David" w:hAnsi="David" w:cs="David" w:hint="cs"/>
          <w:sz w:val="28"/>
          <w:szCs w:val="28"/>
          <w:rtl/>
        </w:rPr>
      </w:pPr>
      <w:r>
        <w:rPr>
          <w:rFonts w:ascii="David" w:hAnsi="David" w:cs="David" w:hint="cs"/>
          <w:sz w:val="28"/>
          <w:szCs w:val="28"/>
          <w:rtl/>
        </w:rPr>
        <w:t xml:space="preserve">עוד נציין כי כבר בתחילת פברואר 2017 הצהירו משרד הבריאות והרווחה כי כל פעוט עם די קיו 62 ומטה יהיה זכאי גם למעון יום שיקומי, וכי הינם מתכוונים ליישם את הזכאות ולהיערך בהתאם לצורך. </w:t>
      </w:r>
    </w:p>
    <w:p w:rsidR="002B0345" w:rsidRDefault="002B0345" w:rsidP="002B0345">
      <w:pPr>
        <w:ind w:right="993"/>
        <w:rPr>
          <w:rFonts w:ascii="David" w:hAnsi="David" w:cs="David" w:hint="cs"/>
          <w:sz w:val="28"/>
          <w:szCs w:val="28"/>
        </w:rPr>
      </w:pPr>
      <w:r>
        <w:rPr>
          <w:rFonts w:ascii="David" w:hAnsi="David" w:cs="David" w:hint="cs"/>
          <w:sz w:val="28"/>
          <w:szCs w:val="28"/>
          <w:rtl/>
        </w:rPr>
        <w:t>ההנחיות זה יחולו על מקרים חדשים; תביעות חוזרות; וכן מקרים שנדונים בשל מעקב ותום זמניות.</w:t>
      </w:r>
    </w:p>
    <w:tbl>
      <w:tblPr>
        <w:tblStyle w:val="a8"/>
        <w:bidiVisual/>
        <w:tblW w:w="0" w:type="auto"/>
        <w:tblInd w:w="74" w:type="dxa"/>
        <w:tblLook w:val="04A0" w:firstRow="1" w:lastRow="0" w:firstColumn="1" w:lastColumn="0" w:noHBand="0" w:noVBand="1"/>
      </w:tblPr>
      <w:tblGrid>
        <w:gridCol w:w="1771"/>
        <w:gridCol w:w="2063"/>
        <w:gridCol w:w="2527"/>
        <w:gridCol w:w="3052"/>
      </w:tblGrid>
      <w:tr w:rsidR="002B0345" w:rsidTr="002B0345">
        <w:tc>
          <w:tcPr>
            <w:tcW w:w="2341"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מי זכאי </w:t>
            </w:r>
          </w:p>
        </w:tc>
        <w:tc>
          <w:tcPr>
            <w:tcW w:w="2693"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שיעור הזכאות </w:t>
            </w:r>
          </w:p>
        </w:tc>
        <w:tc>
          <w:tcPr>
            <w:tcW w:w="4253"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משך הזכאות</w:t>
            </w:r>
          </w:p>
        </w:tc>
        <w:tc>
          <w:tcPr>
            <w:tcW w:w="3544"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אופן המימוש</w:t>
            </w:r>
          </w:p>
        </w:tc>
      </w:tr>
      <w:tr w:rsidR="002B0345" w:rsidTr="002B0345">
        <w:tc>
          <w:tcPr>
            <w:tcW w:w="2341"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Pr>
              <w:t>DQ 55</w:t>
            </w:r>
            <w:r>
              <w:rPr>
                <w:rFonts w:ascii="David" w:hAnsi="David" w:cs="David" w:hint="cs"/>
                <w:sz w:val="28"/>
                <w:szCs w:val="28"/>
                <w:rtl/>
              </w:rPr>
              <w:t xml:space="preserve"> ומטה </w:t>
            </w:r>
          </w:p>
        </w:tc>
        <w:tc>
          <w:tcPr>
            <w:tcW w:w="2693"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100% בשל צורך בנוכחות קבועה</w:t>
            </w:r>
          </w:p>
        </w:tc>
        <w:tc>
          <w:tcPr>
            <w:tcW w:w="4253" w:type="dxa"/>
            <w:tcBorders>
              <w:top w:val="single" w:sz="4" w:space="0" w:color="auto"/>
              <w:left w:val="single" w:sz="4" w:space="0" w:color="auto"/>
              <w:bottom w:val="single" w:sz="4" w:space="0" w:color="auto"/>
              <w:right w:val="single" w:sz="4" w:space="0" w:color="auto"/>
            </w:tcBorders>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זכאות ראשונה תיקבע בהתאם למבחני ה</w:t>
            </w:r>
            <w:r>
              <w:rPr>
                <w:rFonts w:ascii="David" w:hAnsi="David" w:cs="David" w:hint="cs"/>
                <w:sz w:val="28"/>
                <w:szCs w:val="28"/>
              </w:rPr>
              <w:t>DQ</w:t>
            </w:r>
            <w:r>
              <w:rPr>
                <w:rFonts w:ascii="David" w:hAnsi="David" w:cs="David" w:hint="cs"/>
                <w:sz w:val="28"/>
                <w:szCs w:val="28"/>
                <w:rtl/>
              </w:rPr>
              <w:t xml:space="preserve"> מגיל </w:t>
            </w:r>
            <w:r>
              <w:rPr>
                <w:rFonts w:ascii="David" w:hAnsi="David" w:cs="David" w:hint="cs"/>
                <w:sz w:val="28"/>
                <w:szCs w:val="28"/>
                <w:u w:val="single"/>
                <w:rtl/>
              </w:rPr>
              <w:t>9 חודשים</w:t>
            </w:r>
            <w:r>
              <w:rPr>
                <w:rFonts w:ascii="David" w:hAnsi="David" w:cs="David" w:hint="cs"/>
                <w:sz w:val="28"/>
                <w:szCs w:val="28"/>
                <w:rtl/>
              </w:rPr>
              <w:t xml:space="preserve"> ועד </w:t>
            </w:r>
            <w:r>
              <w:rPr>
                <w:rFonts w:ascii="David" w:hAnsi="David" w:cs="David" w:hint="cs"/>
                <w:sz w:val="28"/>
                <w:szCs w:val="28"/>
                <w:u w:val="single"/>
                <w:rtl/>
              </w:rPr>
              <w:lastRenderedPageBreak/>
              <w:t>גיל 5</w:t>
            </w:r>
            <w:r>
              <w:rPr>
                <w:rFonts w:ascii="David" w:hAnsi="David" w:cs="David" w:hint="cs"/>
                <w:sz w:val="28"/>
                <w:szCs w:val="28"/>
                <w:rtl/>
              </w:rPr>
              <w:t xml:space="preserve"> </w:t>
            </w:r>
            <w:r>
              <w:rPr>
                <w:rFonts w:ascii="David" w:hAnsi="David" w:cs="David" w:hint="cs"/>
                <w:sz w:val="28"/>
                <w:szCs w:val="28"/>
                <w:u w:val="single"/>
                <w:rtl/>
              </w:rPr>
              <w:t>שנים</w:t>
            </w:r>
            <w:r>
              <w:rPr>
                <w:rFonts w:ascii="David" w:hAnsi="David" w:cs="David" w:hint="cs"/>
                <w:sz w:val="28"/>
                <w:szCs w:val="28"/>
                <w:rtl/>
              </w:rPr>
              <w:t xml:space="preserve">. בשל אורך ההליך, ולשם עדכון זכאות בזמן, בגיל </w:t>
            </w:r>
            <w:r>
              <w:rPr>
                <w:rFonts w:ascii="David" w:hAnsi="David" w:cs="David" w:hint="cs"/>
                <w:sz w:val="28"/>
                <w:szCs w:val="28"/>
                <w:u w:val="single"/>
                <w:rtl/>
              </w:rPr>
              <w:t xml:space="preserve">4 שנים </w:t>
            </w:r>
            <w:r>
              <w:rPr>
                <w:rFonts w:ascii="David" w:hAnsi="David" w:cs="David" w:hint="cs"/>
                <w:sz w:val="28"/>
                <w:szCs w:val="28"/>
                <w:rtl/>
              </w:rPr>
              <w:t xml:space="preserve">ישלח משרד הרווחה והשירותים החברתיים מכתב להורים המידע אותם בצורך לבצע אבחון מוגבלות שכלית התפתחותית במשרד הרווחה. </w:t>
            </w:r>
            <w:r>
              <w:rPr>
                <w:rFonts w:ascii="David" w:hAnsi="David" w:cs="David" w:hint="cs"/>
                <w:sz w:val="28"/>
                <w:szCs w:val="28"/>
                <w:u w:val="single"/>
                <w:rtl/>
              </w:rPr>
              <w:t>מגיל 5 שנים</w:t>
            </w:r>
            <w:r>
              <w:rPr>
                <w:rFonts w:ascii="David" w:hAnsi="David" w:cs="David" w:hint="cs"/>
                <w:sz w:val="28"/>
                <w:szCs w:val="28"/>
                <w:rtl/>
              </w:rPr>
              <w:t xml:space="preserve"> </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תיקבע זכאות בהתאם לאבחון מהאגף למוגבלות שכלית התפתחותית, או בהתאם לתפקוד הילד/ה באותה העת. ניתן לקבוע המשך זכאות בהתאם להמצאת אבחון מהאגף לטיפול באדם עם מש"ה, גם </w:t>
            </w:r>
            <w:r>
              <w:rPr>
                <w:rFonts w:ascii="David" w:hAnsi="David" w:cs="David" w:hint="cs"/>
                <w:sz w:val="28"/>
                <w:szCs w:val="28"/>
                <w:rtl/>
              </w:rPr>
              <w:lastRenderedPageBreak/>
              <w:t xml:space="preserve">ללא זימון לוועדה. </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במידה ואין אבחון ברור עד גיל 5 שנים, אזי יש לזמן את המשפחה והילד/ה לוועדה לבחון המשך הזכאות.</w:t>
            </w:r>
          </w:p>
          <w:p w:rsidR="002B0345" w:rsidRDefault="002B0345">
            <w:pPr>
              <w:spacing w:line="240" w:lineRule="auto"/>
              <w:ind w:right="993"/>
              <w:rPr>
                <w:rFonts w:ascii="David" w:hAnsi="David" w:cs="David" w:hint="cs"/>
                <w:sz w:val="28"/>
                <w:szCs w:val="28"/>
              </w:rPr>
            </w:pPr>
          </w:p>
        </w:tc>
        <w:tc>
          <w:tcPr>
            <w:tcW w:w="3544" w:type="dxa"/>
            <w:tcBorders>
              <w:top w:val="single" w:sz="4" w:space="0" w:color="auto"/>
              <w:left w:val="single" w:sz="4" w:space="0" w:color="auto"/>
              <w:bottom w:val="single" w:sz="4" w:space="0" w:color="auto"/>
              <w:right w:val="single" w:sz="4" w:space="0" w:color="auto"/>
            </w:tcBorders>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lastRenderedPageBreak/>
              <w:t xml:space="preserve">קביעת זכאות תתבצע על בסיס 2 המסמכים הבאים: </w:t>
            </w:r>
          </w:p>
          <w:p w:rsidR="002B0345" w:rsidRDefault="002B0345" w:rsidP="0009073B">
            <w:pPr>
              <w:pStyle w:val="a7"/>
              <w:numPr>
                <w:ilvl w:val="0"/>
                <w:numId w:val="7"/>
              </w:numPr>
              <w:spacing w:line="240" w:lineRule="auto"/>
              <w:ind w:right="993"/>
              <w:rPr>
                <w:rFonts w:ascii="David" w:hAnsi="David" w:cs="David" w:hint="cs"/>
                <w:sz w:val="28"/>
                <w:szCs w:val="28"/>
                <w:rtl/>
              </w:rPr>
            </w:pPr>
            <w:r>
              <w:rPr>
                <w:rFonts w:ascii="David" w:hAnsi="David" w:cs="David" w:hint="cs"/>
                <w:sz w:val="28"/>
                <w:szCs w:val="28"/>
                <w:rtl/>
              </w:rPr>
              <w:t xml:space="preserve"> אבחון רופא התפתחותי </w:t>
            </w:r>
            <w:r>
              <w:rPr>
                <w:rFonts w:ascii="David" w:hAnsi="David" w:cs="David" w:hint="cs"/>
                <w:sz w:val="28"/>
                <w:szCs w:val="28"/>
                <w:rtl/>
              </w:rPr>
              <w:t>מהמכון להתפתחות הילד.</w:t>
            </w:r>
          </w:p>
          <w:p w:rsidR="002B0345" w:rsidRDefault="002B0345" w:rsidP="0009073B">
            <w:pPr>
              <w:pStyle w:val="a7"/>
              <w:numPr>
                <w:ilvl w:val="0"/>
                <w:numId w:val="7"/>
              </w:numPr>
              <w:spacing w:line="240" w:lineRule="auto"/>
              <w:ind w:right="993"/>
              <w:rPr>
                <w:rFonts w:ascii="David" w:hAnsi="David" w:cs="David" w:hint="cs"/>
                <w:sz w:val="28"/>
                <w:szCs w:val="28"/>
              </w:rPr>
            </w:pPr>
            <w:r>
              <w:rPr>
                <w:rFonts w:ascii="David" w:hAnsi="David" w:cs="David" w:hint="cs"/>
                <w:sz w:val="28"/>
                <w:szCs w:val="28"/>
                <w:rtl/>
              </w:rPr>
              <w:t>אבחון פסיכולוג מהמכון להתפתחות הילד.</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לא ניתן לקבוע זכאות בשל </w:t>
            </w:r>
            <w:r>
              <w:rPr>
                <w:rFonts w:ascii="David" w:hAnsi="David" w:cs="David" w:hint="cs"/>
                <w:sz w:val="28"/>
                <w:szCs w:val="28"/>
              </w:rPr>
              <w:t>DQ62</w:t>
            </w:r>
            <w:r>
              <w:rPr>
                <w:rFonts w:ascii="David" w:hAnsi="David" w:cs="David" w:hint="cs"/>
                <w:sz w:val="28"/>
                <w:szCs w:val="28"/>
                <w:rtl/>
              </w:rPr>
              <w:t xml:space="preserve"> ומטה ללא 2 המסמכים האמורים.</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 מן הראוי יהא לתת את ההחלטה בהסתמך על מסמכים אלו בלבד, ללא צורך בזימן הילד/ה ו/או ההורים- הן בתביעה הראשונה והן בתום זמניות.</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במידה והרופא/ה סבור/ה שיש לזמן את הילד </w:t>
            </w:r>
            <w:proofErr w:type="spellStart"/>
            <w:r>
              <w:rPr>
                <w:rFonts w:ascii="David" w:hAnsi="David" w:cs="David" w:hint="cs"/>
                <w:sz w:val="28"/>
                <w:szCs w:val="28"/>
                <w:rtl/>
              </w:rPr>
              <w:t>לועדה</w:t>
            </w:r>
            <w:proofErr w:type="spellEnd"/>
            <w:r>
              <w:rPr>
                <w:rFonts w:ascii="David" w:hAnsi="David" w:cs="David" w:hint="cs"/>
                <w:sz w:val="28"/>
                <w:szCs w:val="28"/>
                <w:rtl/>
              </w:rPr>
              <w:t>, יש לנמק הבקשה.</w:t>
            </w:r>
          </w:p>
          <w:p w:rsidR="002B0345" w:rsidRDefault="002B0345">
            <w:pPr>
              <w:spacing w:line="240" w:lineRule="auto"/>
              <w:ind w:right="993"/>
              <w:rPr>
                <w:rFonts w:ascii="David" w:hAnsi="David" w:cs="David" w:hint="cs"/>
                <w:sz w:val="28"/>
                <w:szCs w:val="28"/>
                <w:rtl/>
              </w:rPr>
            </w:pPr>
          </w:p>
        </w:tc>
      </w:tr>
      <w:tr w:rsidR="002B0345" w:rsidTr="002B0345">
        <w:tc>
          <w:tcPr>
            <w:tcW w:w="2341"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Pr>
              <w:lastRenderedPageBreak/>
              <w:t>DQ 62-56</w:t>
            </w:r>
          </w:p>
        </w:tc>
        <w:tc>
          <w:tcPr>
            <w:tcW w:w="2693" w:type="dxa"/>
            <w:tcBorders>
              <w:top w:val="single" w:sz="4" w:space="0" w:color="auto"/>
              <w:left w:val="single" w:sz="4" w:space="0" w:color="auto"/>
              <w:bottom w:val="single" w:sz="4" w:space="0" w:color="auto"/>
              <w:right w:val="single" w:sz="4" w:space="0" w:color="auto"/>
            </w:tcBorders>
            <w:hideMark/>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%50 בשל הצורך בהשגחה מתמדת</w:t>
            </w:r>
          </w:p>
        </w:tc>
        <w:tc>
          <w:tcPr>
            <w:tcW w:w="4253" w:type="dxa"/>
            <w:tcBorders>
              <w:top w:val="single" w:sz="4" w:space="0" w:color="auto"/>
              <w:left w:val="single" w:sz="4" w:space="0" w:color="auto"/>
              <w:bottom w:val="single" w:sz="4" w:space="0" w:color="auto"/>
              <w:right w:val="single" w:sz="4" w:space="0" w:color="auto"/>
            </w:tcBorders>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זכאות ראשונה תיקבע בהתאם למבחני ה</w:t>
            </w:r>
            <w:r>
              <w:rPr>
                <w:rFonts w:ascii="David" w:hAnsi="David" w:cs="David" w:hint="cs"/>
                <w:sz w:val="28"/>
                <w:szCs w:val="28"/>
              </w:rPr>
              <w:t>DQ</w:t>
            </w:r>
            <w:r>
              <w:rPr>
                <w:rFonts w:ascii="David" w:hAnsi="David" w:cs="David" w:hint="cs"/>
                <w:sz w:val="28"/>
                <w:szCs w:val="28"/>
                <w:rtl/>
              </w:rPr>
              <w:t xml:space="preserve"> מגיל </w:t>
            </w:r>
            <w:r>
              <w:rPr>
                <w:rFonts w:ascii="David" w:hAnsi="David" w:cs="David" w:hint="cs"/>
                <w:sz w:val="28"/>
                <w:szCs w:val="28"/>
                <w:u w:val="single"/>
                <w:rtl/>
              </w:rPr>
              <w:t>9 חודשים</w:t>
            </w:r>
            <w:r>
              <w:rPr>
                <w:rFonts w:ascii="David" w:hAnsi="David" w:cs="David" w:hint="cs"/>
                <w:sz w:val="28"/>
                <w:szCs w:val="28"/>
                <w:rtl/>
              </w:rPr>
              <w:t xml:space="preserve"> ועד </w:t>
            </w:r>
            <w:r>
              <w:rPr>
                <w:rFonts w:ascii="David" w:hAnsi="David" w:cs="David" w:hint="cs"/>
                <w:sz w:val="28"/>
                <w:szCs w:val="28"/>
                <w:u w:val="single"/>
                <w:rtl/>
              </w:rPr>
              <w:t>גיל 5</w:t>
            </w:r>
            <w:r>
              <w:rPr>
                <w:rFonts w:ascii="David" w:hAnsi="David" w:cs="David" w:hint="cs"/>
                <w:sz w:val="28"/>
                <w:szCs w:val="28"/>
                <w:rtl/>
              </w:rPr>
              <w:t xml:space="preserve"> </w:t>
            </w:r>
            <w:r>
              <w:rPr>
                <w:rFonts w:ascii="David" w:hAnsi="David" w:cs="David" w:hint="cs"/>
                <w:sz w:val="28"/>
                <w:szCs w:val="28"/>
                <w:u w:val="single"/>
                <w:rtl/>
              </w:rPr>
              <w:t>שנים</w:t>
            </w:r>
            <w:r>
              <w:rPr>
                <w:rFonts w:ascii="David" w:hAnsi="David" w:cs="David" w:hint="cs"/>
                <w:sz w:val="28"/>
                <w:szCs w:val="28"/>
                <w:rtl/>
              </w:rPr>
              <w:t xml:space="preserve">. בשל אורך ההליך, ולשם עדכון זכאות בזמן, בגיל </w:t>
            </w:r>
            <w:r>
              <w:rPr>
                <w:rFonts w:ascii="David" w:hAnsi="David" w:cs="David" w:hint="cs"/>
                <w:sz w:val="28"/>
                <w:szCs w:val="28"/>
                <w:u w:val="single"/>
                <w:rtl/>
              </w:rPr>
              <w:t xml:space="preserve">4 שנים </w:t>
            </w:r>
            <w:r>
              <w:rPr>
                <w:rFonts w:ascii="David" w:hAnsi="David" w:cs="David" w:hint="cs"/>
                <w:sz w:val="28"/>
                <w:szCs w:val="28"/>
                <w:rtl/>
              </w:rPr>
              <w:t xml:space="preserve">ישלח משרד הרווחה והשירותים החברתיים מכתב להורים המידע אותם בצורך לבצע אבחון מוגבלות שכלית התפתחותית במשרד הרווחה. </w:t>
            </w:r>
            <w:r>
              <w:rPr>
                <w:rFonts w:ascii="David" w:hAnsi="David" w:cs="David" w:hint="cs"/>
                <w:sz w:val="28"/>
                <w:szCs w:val="28"/>
                <w:u w:val="single"/>
                <w:rtl/>
              </w:rPr>
              <w:t>מגיל 5 שנים</w:t>
            </w:r>
            <w:r>
              <w:rPr>
                <w:rFonts w:ascii="David" w:hAnsi="David" w:cs="David" w:hint="cs"/>
                <w:sz w:val="28"/>
                <w:szCs w:val="28"/>
                <w:rtl/>
              </w:rPr>
              <w:t xml:space="preserve"> </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תיקבע זכאות </w:t>
            </w:r>
            <w:r>
              <w:rPr>
                <w:rFonts w:ascii="David" w:hAnsi="David" w:cs="David" w:hint="cs"/>
                <w:sz w:val="28"/>
                <w:szCs w:val="28"/>
                <w:rtl/>
              </w:rPr>
              <w:lastRenderedPageBreak/>
              <w:t xml:space="preserve">בהתאם לאבחון מהאגף למוגבלות שכלית התפתחותית, או בהתאם לתפקוד הילד/ה באותה העת. ניתן לקבוע המשך זכאות בהתאם להמצאת אבחון מהאגף לטיפול באדם עם מש"ה, גם ללא זימון לוועדה. </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במידה ואין אבחון ברור עד גיל 5 שנים, אזי יש לזמן את המשפחה והילד/ה לוועדה לבחון המשך הזכאות.</w:t>
            </w:r>
          </w:p>
          <w:p w:rsidR="002B0345" w:rsidRDefault="002B0345">
            <w:pPr>
              <w:spacing w:line="240" w:lineRule="auto"/>
              <w:ind w:right="993"/>
              <w:rPr>
                <w:rFonts w:ascii="David" w:hAnsi="David" w:cs="David" w:hint="cs"/>
                <w:sz w:val="28"/>
                <w:szCs w:val="28"/>
              </w:rPr>
            </w:pPr>
          </w:p>
        </w:tc>
        <w:tc>
          <w:tcPr>
            <w:tcW w:w="3544" w:type="dxa"/>
            <w:tcBorders>
              <w:top w:val="single" w:sz="4" w:space="0" w:color="auto"/>
              <w:left w:val="single" w:sz="4" w:space="0" w:color="auto"/>
              <w:bottom w:val="single" w:sz="4" w:space="0" w:color="auto"/>
              <w:right w:val="single" w:sz="4" w:space="0" w:color="auto"/>
            </w:tcBorders>
          </w:tcPr>
          <w:p w:rsidR="002B0345" w:rsidRDefault="002B0345">
            <w:pPr>
              <w:spacing w:line="240" w:lineRule="auto"/>
              <w:ind w:right="993"/>
              <w:rPr>
                <w:rFonts w:ascii="David" w:hAnsi="David" w:cs="David" w:hint="cs"/>
                <w:sz w:val="28"/>
                <w:szCs w:val="28"/>
                <w:rtl/>
              </w:rPr>
            </w:pPr>
            <w:r>
              <w:rPr>
                <w:rFonts w:ascii="David" w:hAnsi="David" w:cs="David" w:hint="cs"/>
                <w:sz w:val="28"/>
                <w:szCs w:val="28"/>
                <w:rtl/>
              </w:rPr>
              <w:lastRenderedPageBreak/>
              <w:t xml:space="preserve">קביעת זכאות תתבצע על בסיס 2 המסמכים הבאים: </w:t>
            </w:r>
          </w:p>
          <w:p w:rsidR="002B0345" w:rsidRDefault="002B0345" w:rsidP="0009073B">
            <w:pPr>
              <w:pStyle w:val="a7"/>
              <w:numPr>
                <w:ilvl w:val="0"/>
                <w:numId w:val="8"/>
              </w:numPr>
              <w:spacing w:line="240" w:lineRule="auto"/>
              <w:ind w:right="993"/>
              <w:rPr>
                <w:rFonts w:ascii="David" w:hAnsi="David" w:cs="David" w:hint="cs"/>
                <w:sz w:val="28"/>
                <w:szCs w:val="28"/>
                <w:rtl/>
              </w:rPr>
            </w:pPr>
            <w:r>
              <w:rPr>
                <w:rFonts w:ascii="David" w:hAnsi="David" w:cs="David" w:hint="cs"/>
                <w:sz w:val="28"/>
                <w:szCs w:val="28"/>
                <w:rtl/>
              </w:rPr>
              <w:t xml:space="preserve"> אבחון רופא התפתחותי מהמכון להתפתחות הילד.</w:t>
            </w:r>
          </w:p>
          <w:p w:rsidR="002B0345" w:rsidRDefault="002B0345" w:rsidP="0009073B">
            <w:pPr>
              <w:pStyle w:val="a7"/>
              <w:numPr>
                <w:ilvl w:val="0"/>
                <w:numId w:val="8"/>
              </w:numPr>
              <w:spacing w:line="240" w:lineRule="auto"/>
              <w:ind w:right="993"/>
              <w:rPr>
                <w:rFonts w:ascii="David" w:hAnsi="David" w:cs="David" w:hint="cs"/>
                <w:sz w:val="28"/>
                <w:szCs w:val="28"/>
              </w:rPr>
            </w:pPr>
            <w:r>
              <w:rPr>
                <w:rFonts w:ascii="David" w:hAnsi="David" w:cs="David" w:hint="cs"/>
                <w:sz w:val="28"/>
                <w:szCs w:val="28"/>
                <w:rtl/>
              </w:rPr>
              <w:t>אבחון פסיכולוג מהמכון להתפתחות הילד.</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לא ניתן לקבוע זכאות בשל </w:t>
            </w:r>
            <w:r>
              <w:rPr>
                <w:rFonts w:ascii="David" w:hAnsi="David" w:cs="David" w:hint="cs"/>
                <w:sz w:val="28"/>
                <w:szCs w:val="28"/>
              </w:rPr>
              <w:t>DQ62</w:t>
            </w:r>
            <w:r>
              <w:rPr>
                <w:rFonts w:ascii="David" w:hAnsi="David" w:cs="David" w:hint="cs"/>
                <w:sz w:val="28"/>
                <w:szCs w:val="28"/>
                <w:rtl/>
              </w:rPr>
              <w:t xml:space="preserve"> ומטה ללא 2 המסמכים האמורים.</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t xml:space="preserve"> מן הראוי יהא לתת את ההחלטה בהסתמך על מסמכים אלו בלבד, ללא צורך בזימן הילד/ה ו/או ההורים- הן בתביעה הראשונה והן בתום זמניות.</w:t>
            </w:r>
          </w:p>
          <w:p w:rsidR="002B0345" w:rsidRDefault="002B0345">
            <w:pPr>
              <w:spacing w:line="240" w:lineRule="auto"/>
              <w:ind w:right="993"/>
              <w:rPr>
                <w:rFonts w:ascii="David" w:hAnsi="David" w:cs="David" w:hint="cs"/>
                <w:sz w:val="28"/>
                <w:szCs w:val="28"/>
                <w:rtl/>
              </w:rPr>
            </w:pPr>
            <w:r>
              <w:rPr>
                <w:rFonts w:ascii="David" w:hAnsi="David" w:cs="David" w:hint="cs"/>
                <w:sz w:val="28"/>
                <w:szCs w:val="28"/>
                <w:rtl/>
              </w:rPr>
              <w:lastRenderedPageBreak/>
              <w:t xml:space="preserve">במידה והרופא/ה סבור/ה שיש לזמן את הילד </w:t>
            </w:r>
            <w:proofErr w:type="spellStart"/>
            <w:r>
              <w:rPr>
                <w:rFonts w:ascii="David" w:hAnsi="David" w:cs="David" w:hint="cs"/>
                <w:sz w:val="28"/>
                <w:szCs w:val="28"/>
                <w:rtl/>
              </w:rPr>
              <w:t>לועדה</w:t>
            </w:r>
            <w:proofErr w:type="spellEnd"/>
            <w:r>
              <w:rPr>
                <w:rFonts w:ascii="David" w:hAnsi="David" w:cs="David" w:hint="cs"/>
                <w:sz w:val="28"/>
                <w:szCs w:val="28"/>
                <w:rtl/>
              </w:rPr>
              <w:t>, יש לנמק הבקשה.</w:t>
            </w:r>
          </w:p>
          <w:p w:rsidR="002B0345" w:rsidRDefault="002B0345">
            <w:pPr>
              <w:spacing w:line="240" w:lineRule="auto"/>
              <w:ind w:right="993"/>
              <w:rPr>
                <w:rFonts w:ascii="David" w:hAnsi="David" w:cs="David" w:hint="cs"/>
                <w:sz w:val="28"/>
                <w:szCs w:val="28"/>
                <w:rtl/>
              </w:rPr>
            </w:pPr>
          </w:p>
        </w:tc>
      </w:tr>
    </w:tbl>
    <w:p w:rsidR="002B0345" w:rsidRDefault="002B0345" w:rsidP="002B0345">
      <w:pPr>
        <w:shd w:val="clear" w:color="auto" w:fill="FFFFFF"/>
        <w:spacing w:after="0" w:line="240" w:lineRule="auto"/>
        <w:ind w:right="993"/>
        <w:rPr>
          <w:rFonts w:ascii="David" w:eastAsia="Times New Roman" w:hAnsi="David" w:cs="David" w:hint="cs"/>
          <w:sz w:val="28"/>
          <w:szCs w:val="28"/>
          <w:rtl/>
        </w:rPr>
      </w:pPr>
    </w:p>
    <w:p w:rsidR="00F54C3B" w:rsidRDefault="00F54C3B">
      <w:pPr>
        <w:rPr>
          <w:rFonts w:hint="cs"/>
        </w:rPr>
      </w:pPr>
    </w:p>
    <w:sectPr w:rsidR="00F54C3B" w:rsidSect="00F54C3B">
      <w:headerReference w:type="default" r:id="rId7"/>
      <w:footerReference w:type="default" r:id="rId8"/>
      <w:pgSz w:w="11906" w:h="16838"/>
      <w:pgMar w:top="1440" w:right="849"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14B" w:rsidRDefault="0034714B" w:rsidP="00F54C3B">
      <w:pPr>
        <w:spacing w:after="0" w:line="240" w:lineRule="auto"/>
      </w:pPr>
      <w:r>
        <w:separator/>
      </w:r>
    </w:p>
  </w:endnote>
  <w:endnote w:type="continuationSeparator" w:id="0">
    <w:p w:rsidR="0034714B" w:rsidRDefault="0034714B" w:rsidP="00F5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3B" w:rsidRDefault="00613CD2" w:rsidP="00F54C3B">
    <w:pPr>
      <w:pStyle w:val="a5"/>
    </w:pPr>
    <w:r>
      <w:rPr>
        <w:rFonts w:hint="cs"/>
        <w:noProof/>
      </w:rPr>
      <w:drawing>
        <wp:anchor distT="0" distB="0" distL="114300" distR="114300" simplePos="0" relativeHeight="251661312" behindDoc="0" locked="0" layoutInCell="1" allowOverlap="1" wp14:anchorId="39CE0F9E" wp14:editId="3139FDC3">
          <wp:simplePos x="0" y="0"/>
          <wp:positionH relativeFrom="page">
            <wp:posOffset>-85725</wp:posOffset>
          </wp:positionH>
          <wp:positionV relativeFrom="paragraph">
            <wp:posOffset>-422275</wp:posOffset>
          </wp:positionV>
          <wp:extent cx="7564836" cy="1180465"/>
          <wp:effectExtent l="0" t="0" r="0" b="63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כותרת תחתונה.jpg"/>
                  <pic:cNvPicPr/>
                </pic:nvPicPr>
                <pic:blipFill rotWithShape="1">
                  <a:blip r:embed="rId1" cstate="print">
                    <a:extLst>
                      <a:ext uri="{28A0092B-C50C-407E-A947-70E740481C1C}">
                        <a14:useLocalDpi xmlns:a14="http://schemas.microsoft.com/office/drawing/2010/main" val="0"/>
                      </a:ext>
                    </a:extLst>
                  </a:blip>
                  <a:srcRect t="16219" b="-1"/>
                  <a:stretch/>
                </pic:blipFill>
                <pic:spPr bwMode="auto">
                  <a:xfrm>
                    <a:off x="0" y="0"/>
                    <a:ext cx="7564836" cy="118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14B" w:rsidRDefault="0034714B" w:rsidP="00F54C3B">
      <w:pPr>
        <w:spacing w:after="0" w:line="240" w:lineRule="auto"/>
      </w:pPr>
      <w:r>
        <w:separator/>
      </w:r>
    </w:p>
  </w:footnote>
  <w:footnote w:type="continuationSeparator" w:id="0">
    <w:p w:rsidR="0034714B" w:rsidRDefault="0034714B" w:rsidP="00F54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CD2" w:rsidRPr="00613CD2" w:rsidRDefault="00613CD2" w:rsidP="00613CD2">
    <w:pPr>
      <w:pStyle w:val="a3"/>
      <w:rPr>
        <w:sz w:val="2"/>
        <w:szCs w:val="2"/>
      </w:rPr>
    </w:pPr>
    <w:r w:rsidRPr="00613CD2">
      <w:rPr>
        <w:noProof/>
        <w:sz w:val="2"/>
        <w:szCs w:val="2"/>
        <w:rtl/>
      </w:rPr>
      <w:drawing>
        <wp:anchor distT="0" distB="0" distL="114300" distR="114300" simplePos="0" relativeHeight="251659264" behindDoc="0" locked="0" layoutInCell="1" allowOverlap="1" wp14:anchorId="356540A2" wp14:editId="086D5FB8">
          <wp:simplePos x="0" y="0"/>
          <wp:positionH relativeFrom="page">
            <wp:posOffset>0</wp:posOffset>
          </wp:positionH>
          <wp:positionV relativeFrom="paragraph">
            <wp:posOffset>-448310</wp:posOffset>
          </wp:positionV>
          <wp:extent cx="7531100" cy="2019300"/>
          <wp:effectExtent l="0" t="0" r="0" b="0"/>
          <wp:wrapThrough wrapText="bothSides">
            <wp:wrapPolygon edited="0">
              <wp:start x="0" y="0"/>
              <wp:lineTo x="0" y="21396"/>
              <wp:lineTo x="21527" y="21396"/>
              <wp:lineTo x="21527" y="0"/>
              <wp:lineTo x="0"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כותרת עליונה.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100" cy="2019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21C2"/>
    <w:multiLevelType w:val="hybridMultilevel"/>
    <w:tmpl w:val="17847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351CE9"/>
    <w:multiLevelType w:val="hybridMultilevel"/>
    <w:tmpl w:val="AE4C4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E928E2"/>
    <w:multiLevelType w:val="hybridMultilevel"/>
    <w:tmpl w:val="17847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165A9"/>
    <w:multiLevelType w:val="hybridMultilevel"/>
    <w:tmpl w:val="5EAED21A"/>
    <w:lvl w:ilvl="0" w:tplc="D9CADAEE">
      <w:start w:val="1"/>
      <w:numFmt w:val="decimal"/>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416A4C"/>
    <w:multiLevelType w:val="hybridMultilevel"/>
    <w:tmpl w:val="5F84DE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B6B6C0F"/>
    <w:multiLevelType w:val="hybridMultilevel"/>
    <w:tmpl w:val="B718C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4520E0"/>
    <w:multiLevelType w:val="hybridMultilevel"/>
    <w:tmpl w:val="93C6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EE1C2A"/>
    <w:multiLevelType w:val="hybridMultilevel"/>
    <w:tmpl w:val="295ADD2E"/>
    <w:lvl w:ilvl="0" w:tplc="04090001">
      <w:start w:val="1"/>
      <w:numFmt w:val="bullet"/>
      <w:lvlText w:val=""/>
      <w:lvlJc w:val="left"/>
      <w:pPr>
        <w:ind w:left="720" w:hanging="360"/>
      </w:pPr>
      <w:rPr>
        <w:rFonts w:ascii="Symbol" w:hAnsi="Symbol" w:hint="default"/>
      </w:rPr>
    </w:lvl>
    <w:lvl w:ilvl="1" w:tplc="E056E766">
      <w:start w:val="1"/>
      <w:numFmt w:val="bullet"/>
      <w:lvlText w:val="o"/>
      <w:lvlJc w:val="left"/>
      <w:pPr>
        <w:ind w:left="1440" w:hanging="360"/>
      </w:pPr>
      <w:rPr>
        <w:rFonts w:ascii="Courier New" w:hAnsi="Courier New" w:cs="Courier New" w:hint="default"/>
        <w:sz w:val="28"/>
        <w:szCs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63"/>
    <w:rsid w:val="000C7EAE"/>
    <w:rsid w:val="00212CCD"/>
    <w:rsid w:val="002B0345"/>
    <w:rsid w:val="0034714B"/>
    <w:rsid w:val="00613CD2"/>
    <w:rsid w:val="00650C3D"/>
    <w:rsid w:val="008D2563"/>
    <w:rsid w:val="00B4708C"/>
    <w:rsid w:val="00C86D88"/>
    <w:rsid w:val="00E61AD8"/>
    <w:rsid w:val="00F54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7388AE-4664-4C88-8ED4-074835BF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345"/>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C3B"/>
    <w:pPr>
      <w:tabs>
        <w:tab w:val="center" w:pos="4153"/>
        <w:tab w:val="right" w:pos="8306"/>
      </w:tabs>
      <w:spacing w:after="0" w:line="240" w:lineRule="auto"/>
    </w:pPr>
  </w:style>
  <w:style w:type="character" w:customStyle="1" w:styleId="a4">
    <w:name w:val="כותרת עליונה תו"/>
    <w:basedOn w:val="a0"/>
    <w:link w:val="a3"/>
    <w:uiPriority w:val="99"/>
    <w:rsid w:val="00F54C3B"/>
  </w:style>
  <w:style w:type="paragraph" w:styleId="a5">
    <w:name w:val="footer"/>
    <w:basedOn w:val="a"/>
    <w:link w:val="a6"/>
    <w:uiPriority w:val="99"/>
    <w:unhideWhenUsed/>
    <w:rsid w:val="00F54C3B"/>
    <w:pPr>
      <w:tabs>
        <w:tab w:val="center" w:pos="4153"/>
        <w:tab w:val="right" w:pos="8306"/>
      </w:tabs>
      <w:spacing w:after="0" w:line="240" w:lineRule="auto"/>
    </w:pPr>
  </w:style>
  <w:style w:type="character" w:customStyle="1" w:styleId="a6">
    <w:name w:val="כותרת תחתונה תו"/>
    <w:basedOn w:val="a0"/>
    <w:link w:val="a5"/>
    <w:uiPriority w:val="99"/>
    <w:rsid w:val="00F54C3B"/>
  </w:style>
  <w:style w:type="paragraph" w:styleId="a7">
    <w:name w:val="List Paragraph"/>
    <w:basedOn w:val="a"/>
    <w:uiPriority w:val="34"/>
    <w:qFormat/>
    <w:rsid w:val="002B0345"/>
    <w:pPr>
      <w:ind w:left="720"/>
      <w:contextualSpacing/>
    </w:pPr>
  </w:style>
  <w:style w:type="table" w:styleId="a8">
    <w:name w:val="Table Grid"/>
    <w:basedOn w:val="a1"/>
    <w:uiPriority w:val="39"/>
    <w:rsid w:val="002B03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Words>
  <Characters>3645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dobkin</dc:creator>
  <cp:keywords/>
  <dc:description/>
  <cp:lastModifiedBy>sharon dobkin</cp:lastModifiedBy>
  <cp:revision>3</cp:revision>
  <dcterms:created xsi:type="dcterms:W3CDTF">2017-10-09T13:14:00Z</dcterms:created>
  <dcterms:modified xsi:type="dcterms:W3CDTF">2017-10-09T13:14:00Z</dcterms:modified>
</cp:coreProperties>
</file>